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603" w:rsidRDefault="00020603" w:rsidP="00020603">
      <w:pPr>
        <w:pStyle w:val="HeaderFormat"/>
        <w:rPr>
          <w:rFonts w:ascii="Gill Sans MT" w:hAnsi="Gill Sans MT"/>
          <w:sz w:val="52"/>
          <w:szCs w:val="52"/>
        </w:rPr>
      </w:pPr>
    </w:p>
    <w:p w:rsidR="00020603" w:rsidRDefault="00020603" w:rsidP="00020603">
      <w:pPr>
        <w:pStyle w:val="HeaderFormat"/>
        <w:rPr>
          <w:rFonts w:ascii="Gill Sans MT" w:hAnsi="Gill Sans MT"/>
          <w:sz w:val="52"/>
          <w:szCs w:val="52"/>
        </w:rPr>
      </w:pPr>
    </w:p>
    <w:p w:rsidR="00020603" w:rsidRDefault="00020603" w:rsidP="00020603">
      <w:pPr>
        <w:pStyle w:val="HeaderFormat"/>
        <w:rPr>
          <w:rFonts w:ascii="Gill Sans MT" w:hAnsi="Gill Sans MT"/>
          <w:sz w:val="52"/>
          <w:szCs w:val="52"/>
        </w:rPr>
      </w:pPr>
    </w:p>
    <w:p w:rsidR="00020603" w:rsidRDefault="00020603" w:rsidP="00020603">
      <w:pPr>
        <w:pStyle w:val="HeaderFormat"/>
        <w:rPr>
          <w:rFonts w:ascii="Gill Sans MT" w:hAnsi="Gill Sans MT"/>
          <w:sz w:val="52"/>
          <w:szCs w:val="52"/>
        </w:rPr>
      </w:pPr>
    </w:p>
    <w:p w:rsidR="00020603" w:rsidRDefault="00020603" w:rsidP="00020603">
      <w:pPr>
        <w:pStyle w:val="HeaderFormat"/>
        <w:rPr>
          <w:rFonts w:ascii="Gill Sans MT" w:hAnsi="Gill Sans MT"/>
          <w:sz w:val="52"/>
          <w:szCs w:val="52"/>
        </w:rPr>
      </w:pPr>
    </w:p>
    <w:p w:rsidR="00020603" w:rsidRDefault="00020603" w:rsidP="00020603">
      <w:pPr>
        <w:pStyle w:val="HeaderFormat"/>
        <w:rPr>
          <w:rFonts w:ascii="Gill Sans MT" w:hAnsi="Gill Sans MT"/>
          <w:sz w:val="52"/>
          <w:szCs w:val="52"/>
        </w:rPr>
      </w:pPr>
    </w:p>
    <w:p w:rsidR="00020603" w:rsidRDefault="00020603" w:rsidP="00020603">
      <w:pPr>
        <w:pStyle w:val="HeaderFormat"/>
        <w:rPr>
          <w:rFonts w:ascii="Gill Sans MT" w:hAnsi="Gill Sans MT"/>
          <w:sz w:val="52"/>
          <w:szCs w:val="52"/>
        </w:rPr>
      </w:pPr>
    </w:p>
    <w:p w:rsidR="00020603" w:rsidRDefault="00020603" w:rsidP="00020603">
      <w:pPr>
        <w:pStyle w:val="HeaderFormat"/>
        <w:rPr>
          <w:rFonts w:ascii="Gill Sans MT" w:hAnsi="Gill Sans MT"/>
          <w:sz w:val="52"/>
          <w:szCs w:val="52"/>
        </w:rPr>
      </w:pPr>
    </w:p>
    <w:p w:rsidR="00020603" w:rsidRPr="00423D8A" w:rsidRDefault="00020603" w:rsidP="00020603">
      <w:pPr>
        <w:pStyle w:val="HeaderFormat"/>
        <w:rPr>
          <w:rFonts w:ascii="Gill Sans MT" w:hAnsi="Gill Sans MT"/>
        </w:rPr>
      </w:pPr>
      <w:r w:rsidRPr="00423D8A">
        <w:rPr>
          <w:rFonts w:ascii="Gill Sans MT" w:hAnsi="Gill Sans MT"/>
          <w:sz w:val="52"/>
          <w:szCs w:val="52"/>
        </w:rPr>
        <w:t>Recruitment Advice for Managers</w:t>
      </w:r>
    </w:p>
    <w:p w:rsidR="00020603" w:rsidRPr="00423D8A" w:rsidRDefault="00020603" w:rsidP="00020603">
      <w:r w:rsidRPr="00423D8A">
        <w:t xml:space="preserve">This guide is to provide an overview of the documents necessary to ensure Queen Mary meets our statutory obligations when recruiting new staff. </w:t>
      </w:r>
    </w:p>
    <w:p w:rsidR="00020603" w:rsidRPr="00423D8A" w:rsidRDefault="00020603" w:rsidP="00020603"/>
    <w:p w:rsidR="00020603" w:rsidRPr="00423D8A" w:rsidRDefault="00020603" w:rsidP="00020603">
      <w:pPr>
        <w:pStyle w:val="Heading2"/>
        <w:rPr>
          <w:rFonts w:ascii="Gill Sans MT" w:hAnsi="Gill Sans MT"/>
        </w:rPr>
      </w:pPr>
      <w:r w:rsidRPr="00423D8A">
        <w:rPr>
          <w:rFonts w:ascii="Gill Sans MT" w:hAnsi="Gill Sans MT"/>
        </w:rPr>
        <w:t xml:space="preserve">Version </w:t>
      </w:r>
      <w:r w:rsidR="00711458">
        <w:rPr>
          <w:rFonts w:ascii="Gill Sans MT" w:hAnsi="Gill Sans MT"/>
        </w:rPr>
        <w:t>2</w:t>
      </w:r>
      <w:r w:rsidRPr="00423D8A">
        <w:rPr>
          <w:rFonts w:ascii="Gill Sans MT" w:hAnsi="Gill Sans MT"/>
        </w:rPr>
        <w:t xml:space="preserve">.0. </w:t>
      </w:r>
    </w:p>
    <w:p w:rsidR="00020603" w:rsidRDefault="00711458" w:rsidP="00020603">
      <w:pPr>
        <w:spacing w:after="160" w:line="259" w:lineRule="auto"/>
      </w:pPr>
      <w:r>
        <w:t>August</w:t>
      </w:r>
      <w:r w:rsidR="00020603" w:rsidRPr="00423D8A">
        <w:t xml:space="preserve"> 201</w:t>
      </w:r>
      <w:r>
        <w:t>9</w:t>
      </w:r>
      <w:bookmarkStart w:id="0" w:name="_GoBack"/>
      <w:bookmarkEnd w:id="0"/>
      <w:r w:rsidR="00020603">
        <w:br w:type="page"/>
      </w:r>
    </w:p>
    <w:p w:rsidR="00020603" w:rsidRPr="0065586A" w:rsidRDefault="00020603" w:rsidP="00020603">
      <w:pPr>
        <w:pStyle w:val="Heading2"/>
        <w:rPr>
          <w:rFonts w:ascii="Gill Sans MT" w:hAnsi="Gill Sans MT"/>
        </w:rPr>
      </w:pPr>
      <w:r w:rsidRPr="0065586A">
        <w:rPr>
          <w:rFonts w:ascii="Gill Sans MT" w:hAnsi="Gill Sans MT"/>
        </w:rPr>
        <w:lastRenderedPageBreak/>
        <w:t>Recruitment</w:t>
      </w:r>
      <w:r w:rsidR="009D7980">
        <w:rPr>
          <w:rFonts w:ascii="Gill Sans MT" w:hAnsi="Gill Sans MT"/>
        </w:rPr>
        <w:t xml:space="preserve"> Overview</w:t>
      </w:r>
    </w:p>
    <w:p w:rsidR="00020603" w:rsidRPr="00423D8A" w:rsidRDefault="00020603" w:rsidP="00020603">
      <w:r w:rsidRPr="00423D8A">
        <w:t xml:space="preserve">The responsibility for recruitment and selection of new employees belongs to managers throughout Queen Mary University of London. </w:t>
      </w:r>
      <w:r w:rsidR="009D7980">
        <w:t xml:space="preserve"> We </w:t>
      </w:r>
      <w:r w:rsidRPr="00423D8A">
        <w:t xml:space="preserve">use </w:t>
      </w:r>
      <w:proofErr w:type="gramStart"/>
      <w:r w:rsidRPr="00423D8A">
        <w:t>the i</w:t>
      </w:r>
      <w:proofErr w:type="gramEnd"/>
      <w:r w:rsidRPr="00423D8A">
        <w:t>-</w:t>
      </w:r>
      <w:proofErr w:type="spellStart"/>
      <w:r w:rsidRPr="00423D8A">
        <w:t>GRasp</w:t>
      </w:r>
      <w:proofErr w:type="spellEnd"/>
      <w:r w:rsidRPr="00423D8A">
        <w:t xml:space="preserve"> system as an authorisation tool to manage vacancies and as a means for candidates to apply for vacancies. </w:t>
      </w:r>
    </w:p>
    <w:p w:rsidR="00020603" w:rsidRPr="00423D8A" w:rsidRDefault="00020603" w:rsidP="00020603"/>
    <w:p w:rsidR="00F3404C" w:rsidRDefault="00020603" w:rsidP="009329AA">
      <w:pPr>
        <w:rPr>
          <w:rFonts w:cs="Tahoma"/>
        </w:rPr>
      </w:pPr>
      <w:r w:rsidRPr="00423D8A">
        <w:t xml:space="preserve">When recruiting new staff members it is important </w:t>
      </w:r>
      <w:r w:rsidR="00A76207">
        <w:t>that Hiring Managers are</w:t>
      </w:r>
      <w:r w:rsidRPr="00423D8A">
        <w:t xml:space="preserve"> aware of the</w:t>
      </w:r>
      <w:r w:rsidR="00A76207">
        <w:t>ir</w:t>
      </w:r>
      <w:r w:rsidRPr="00423D8A">
        <w:t xml:space="preserve"> statutory obligations.  These affect all new hires but are of particular importance </w:t>
      </w:r>
      <w:r w:rsidR="009D7980">
        <w:t>in the recruitment of non-</w:t>
      </w:r>
      <w:r w:rsidR="00A76207">
        <w:t>EEA</w:t>
      </w:r>
      <w:r w:rsidR="009D7980">
        <w:t xml:space="preserve"> staff</w:t>
      </w:r>
      <w:r w:rsidRPr="00423D8A">
        <w:t xml:space="preserve">. </w:t>
      </w:r>
      <w:r w:rsidR="00EB7D6C">
        <w:t xml:space="preserve"> Once a conditional offer of employment has been accepted, </w:t>
      </w:r>
      <w:r w:rsidR="00F3404C">
        <w:rPr>
          <w:rFonts w:cs="Tahoma"/>
        </w:rPr>
        <w:t xml:space="preserve">recruiting managers must upload </w:t>
      </w:r>
      <w:r w:rsidR="00A76207">
        <w:rPr>
          <w:rFonts w:cs="Tahoma"/>
        </w:rPr>
        <w:t xml:space="preserve">the following documents </w:t>
      </w:r>
      <w:r w:rsidR="009329AA" w:rsidRPr="00A76207">
        <w:rPr>
          <w:rFonts w:cs="Tahoma"/>
        </w:rPr>
        <w:t>to the notes section of I-Grasp</w:t>
      </w:r>
      <w:r w:rsidR="00EB7D6C">
        <w:rPr>
          <w:rFonts w:cs="Tahoma"/>
        </w:rPr>
        <w:t xml:space="preserve"> for authorisation</w:t>
      </w:r>
      <w:r w:rsidR="009329AA" w:rsidRPr="00A76207">
        <w:rPr>
          <w:rFonts w:cs="Tahoma"/>
        </w:rPr>
        <w:t>:</w:t>
      </w:r>
    </w:p>
    <w:p w:rsidR="00EB7D6C" w:rsidRDefault="00EB7D6C" w:rsidP="009329AA">
      <w:pPr>
        <w:rPr>
          <w:rFonts w:cs="Tahoma"/>
        </w:rPr>
      </w:pPr>
    </w:p>
    <w:p w:rsidR="00EB7D6C" w:rsidRPr="00EB7D6C" w:rsidRDefault="00850DC7" w:rsidP="00EB7D6C">
      <w:pPr>
        <w:pStyle w:val="ListParagraph"/>
        <w:numPr>
          <w:ilvl w:val="0"/>
          <w:numId w:val="4"/>
        </w:numPr>
        <w:rPr>
          <w:rFonts w:ascii="Gill Sans MT" w:hAnsi="Gill Sans MT"/>
          <w:b/>
        </w:rPr>
      </w:pPr>
      <w:r>
        <w:rPr>
          <w:rFonts w:ascii="Gill Sans MT" w:hAnsi="Gill Sans MT"/>
        </w:rPr>
        <w:t>Copies of proof of e</w:t>
      </w:r>
      <w:r w:rsidR="00EB7D6C" w:rsidRPr="00EB7D6C">
        <w:rPr>
          <w:rFonts w:ascii="Gill Sans MT" w:hAnsi="Gill Sans MT"/>
        </w:rPr>
        <w:t>ligibility to work in the UK documents, signed that the original has been seen along with any essential qualification certificates.</w:t>
      </w:r>
    </w:p>
    <w:p w:rsidR="00EB7D6C" w:rsidRPr="00EB7D6C" w:rsidRDefault="00EB7D6C" w:rsidP="00EB7D6C">
      <w:pPr>
        <w:pStyle w:val="ListParagraph"/>
        <w:numPr>
          <w:ilvl w:val="0"/>
          <w:numId w:val="4"/>
        </w:numPr>
        <w:rPr>
          <w:rFonts w:ascii="Gill Sans MT" w:hAnsi="Gill Sans MT"/>
        </w:rPr>
      </w:pPr>
      <w:r w:rsidRPr="00EB7D6C">
        <w:rPr>
          <w:rFonts w:ascii="Gill Sans MT" w:hAnsi="Gill Sans MT"/>
        </w:rPr>
        <w:t xml:space="preserve">Completed </w:t>
      </w:r>
      <w:r w:rsidR="00850DC7">
        <w:rPr>
          <w:rFonts w:ascii="Gill Sans MT" w:hAnsi="Gill Sans MT"/>
        </w:rPr>
        <w:t>S</w:t>
      </w:r>
      <w:r w:rsidRPr="00EB7D6C">
        <w:rPr>
          <w:rFonts w:ascii="Gill Sans MT" w:hAnsi="Gill Sans MT"/>
        </w:rPr>
        <w:t xml:space="preserve">hortlisting </w:t>
      </w:r>
      <w:r w:rsidR="00850DC7">
        <w:rPr>
          <w:rFonts w:ascii="Gill Sans MT" w:hAnsi="Gill Sans MT"/>
        </w:rPr>
        <w:t>F</w:t>
      </w:r>
      <w:r w:rsidRPr="00EB7D6C">
        <w:rPr>
          <w:rFonts w:ascii="Gill Sans MT" w:hAnsi="Gill Sans MT"/>
        </w:rPr>
        <w:t>orm</w:t>
      </w:r>
    </w:p>
    <w:p w:rsidR="00EB7D6C" w:rsidRDefault="00EB7D6C" w:rsidP="00EB7D6C">
      <w:pPr>
        <w:pStyle w:val="ListParagraph"/>
        <w:numPr>
          <w:ilvl w:val="0"/>
          <w:numId w:val="4"/>
        </w:numPr>
        <w:rPr>
          <w:rFonts w:ascii="Gill Sans MT" w:hAnsi="Gill Sans MT"/>
        </w:rPr>
      </w:pPr>
      <w:r w:rsidRPr="00EB7D6C">
        <w:rPr>
          <w:rFonts w:ascii="Gill Sans MT" w:hAnsi="Gill Sans MT"/>
        </w:rPr>
        <w:t>Completed Interview Record Form</w:t>
      </w:r>
    </w:p>
    <w:p w:rsidR="00EB7D6C" w:rsidRPr="00EB7D6C" w:rsidRDefault="00EB7D6C" w:rsidP="00EB7D6C"/>
    <w:p w:rsidR="00020603" w:rsidRPr="009D7980" w:rsidRDefault="00020603" w:rsidP="009D7980">
      <w:pPr>
        <w:pStyle w:val="Heading2"/>
        <w:rPr>
          <w:rFonts w:ascii="Gill Sans MT" w:hAnsi="Gill Sans MT"/>
        </w:rPr>
      </w:pPr>
      <w:r w:rsidRPr="009D7980">
        <w:rPr>
          <w:rFonts w:ascii="Gill Sans MT" w:hAnsi="Gill Sans MT"/>
        </w:rPr>
        <w:t>Right To Work Checks</w:t>
      </w:r>
    </w:p>
    <w:p w:rsidR="00020603" w:rsidRPr="00423D8A" w:rsidRDefault="00020603" w:rsidP="00020603">
      <w:r w:rsidRPr="00423D8A">
        <w:t>You must conduct Right to Work Checks on all individuals at interview stage and the relevant paperwork must be uploaded to i-</w:t>
      </w:r>
      <w:proofErr w:type="spellStart"/>
      <w:r w:rsidRPr="00423D8A">
        <w:t>GRasp</w:t>
      </w:r>
      <w:proofErr w:type="spellEnd"/>
      <w:r w:rsidRPr="00423D8A">
        <w:t xml:space="preserve"> before HR will issue a contract of employment. Information on how to conduct Right to Work Checks </w:t>
      </w:r>
      <w:proofErr w:type="gramStart"/>
      <w:r w:rsidRPr="00423D8A">
        <w:t>can be found</w:t>
      </w:r>
      <w:proofErr w:type="gramEnd"/>
      <w:r w:rsidRPr="00423D8A">
        <w:t xml:space="preserve"> </w:t>
      </w:r>
      <w:hyperlink r:id="rId7" w:history="1">
        <w:r w:rsidRPr="00423D8A">
          <w:rPr>
            <w:rStyle w:val="Hyperlink"/>
          </w:rPr>
          <w:t>here</w:t>
        </w:r>
      </w:hyperlink>
      <w:r w:rsidRPr="00423D8A">
        <w:t xml:space="preserve">. </w:t>
      </w:r>
    </w:p>
    <w:p w:rsidR="00020603" w:rsidRPr="00423D8A" w:rsidRDefault="00020603" w:rsidP="00020603"/>
    <w:p w:rsidR="00020603" w:rsidRPr="00423D8A" w:rsidRDefault="00020603" w:rsidP="00020603">
      <w:r w:rsidRPr="00423D8A">
        <w:t xml:space="preserve">For new staff who will require a Tier 2 visa, the check </w:t>
      </w:r>
      <w:proofErr w:type="gramStart"/>
      <w:r w:rsidRPr="00423D8A">
        <w:t>must be done</w:t>
      </w:r>
      <w:proofErr w:type="gramEnd"/>
      <w:r w:rsidRPr="00423D8A">
        <w:t xml:space="preserve"> on the first day of employment before the individual actually commences work and the paperwork must be emailed to HR.</w:t>
      </w:r>
    </w:p>
    <w:p w:rsidR="00020603" w:rsidRPr="00423D8A" w:rsidRDefault="00020603" w:rsidP="00020603"/>
    <w:p w:rsidR="00020603" w:rsidRPr="00423D8A" w:rsidRDefault="00020603" w:rsidP="00020603">
      <w:r w:rsidRPr="00423D8A">
        <w:t>This requirement also applies to Tier 5 migrants regardless of whether or not they hold a contract of employment with QMUL</w:t>
      </w:r>
    </w:p>
    <w:p w:rsidR="00020603" w:rsidRDefault="00020603" w:rsidP="00020603"/>
    <w:p w:rsidR="00EB7D6C" w:rsidRPr="00530171" w:rsidRDefault="00EB7D6C" w:rsidP="00EB7D6C">
      <w:pPr>
        <w:pStyle w:val="Heading2"/>
        <w:rPr>
          <w:rFonts w:ascii="Gill Sans MT" w:hAnsi="Gill Sans MT"/>
        </w:rPr>
      </w:pPr>
      <w:r w:rsidRPr="00530171">
        <w:rPr>
          <w:rFonts w:ascii="Gill Sans MT" w:hAnsi="Gill Sans MT"/>
        </w:rPr>
        <w:t>Right to Work Checks – Action Required by Hiring Manager</w:t>
      </w:r>
    </w:p>
    <w:p w:rsidR="00EB7D6C" w:rsidRPr="00423D8A" w:rsidRDefault="00EB7D6C" w:rsidP="00EB7D6C">
      <w:r w:rsidRPr="007205AF">
        <w:t xml:space="preserve">The most recent guidance issued from the Home Office states that when conducting Right to Work checks simply writing a date on the copy document </w:t>
      </w:r>
      <w:proofErr w:type="gramStart"/>
      <w:r w:rsidRPr="007205AF">
        <w:t>does not, in itself, confirm</w:t>
      </w:r>
      <w:proofErr w:type="gramEnd"/>
      <w:r w:rsidRPr="007205AF">
        <w:t xml:space="preserve"> that this is the actual date when the check was undertaken. If you write a date on the copy document, you must also record the fact </w:t>
      </w:r>
      <w:proofErr w:type="gramStart"/>
      <w:r w:rsidRPr="007205AF">
        <w:t>that this is the date on which you conducted the check</w:t>
      </w:r>
      <w:proofErr w:type="gramEnd"/>
      <w:r w:rsidRPr="007205AF">
        <w:t>.</w:t>
      </w:r>
    </w:p>
    <w:p w:rsidR="00EB7D6C" w:rsidRPr="00423D8A" w:rsidRDefault="00EB7D6C" w:rsidP="00020603"/>
    <w:p w:rsidR="00020603" w:rsidRPr="00423D8A" w:rsidRDefault="00020603" w:rsidP="00020603">
      <w:pPr>
        <w:rPr>
          <w:b/>
        </w:rPr>
      </w:pPr>
      <w:r w:rsidRPr="00423D8A">
        <w:rPr>
          <w:b/>
        </w:rPr>
        <w:t>With immediate effect, please use the following statement on all right to work checks:</w:t>
      </w:r>
    </w:p>
    <w:p w:rsidR="00020603" w:rsidRPr="00423D8A" w:rsidRDefault="00020603" w:rsidP="00020603">
      <w:r w:rsidRPr="00423D8A">
        <w:t xml:space="preserve">“I certify that the date on which this right to work check was made was [insert date]”.  All checks must be dated and contain the name of the person checking the document.  </w:t>
      </w:r>
    </w:p>
    <w:p w:rsidR="00020603" w:rsidRPr="00423D8A" w:rsidRDefault="00020603" w:rsidP="00020603"/>
    <w:p w:rsidR="00020603" w:rsidRPr="00423D8A" w:rsidRDefault="00020603" w:rsidP="00020603">
      <w:pPr>
        <w:pStyle w:val="Heading2"/>
        <w:rPr>
          <w:rFonts w:ascii="Gill Sans MT" w:hAnsi="Gill Sans MT"/>
        </w:rPr>
      </w:pPr>
      <w:r w:rsidRPr="00423D8A">
        <w:rPr>
          <w:rFonts w:ascii="Gill Sans MT" w:hAnsi="Gill Sans MT"/>
        </w:rPr>
        <w:t>Taking Copies of Documents</w:t>
      </w:r>
    </w:p>
    <w:p w:rsidR="00EB7D6C" w:rsidRDefault="00020603" w:rsidP="00020603">
      <w:r w:rsidRPr="00423D8A">
        <w:t>When you are checking the validity of the documents, you must ensure that you do this in the presence of the holder. This can be a physical presence in person or via a live video link. In both cases, you must be in physical possession of the original documents. You may not rely on the inspection of the document via a live video link or by checking a faxed or scanned copy of the document.</w:t>
      </w:r>
      <w:r w:rsidR="00EB7D6C">
        <w:t xml:space="preserve">  </w:t>
      </w:r>
    </w:p>
    <w:p w:rsidR="00EB7D6C" w:rsidRDefault="00EB7D6C" w:rsidP="00020603"/>
    <w:p w:rsidR="00020603" w:rsidRDefault="00020603" w:rsidP="00020603">
      <w:pPr>
        <w:rPr>
          <w:color w:val="171717"/>
          <w:shd w:val="clear" w:color="auto" w:fill="FFFFFF"/>
        </w:rPr>
      </w:pPr>
      <w:r w:rsidRPr="00423D8A">
        <w:rPr>
          <w:color w:val="171717"/>
          <w:shd w:val="clear" w:color="auto" w:fill="FFFFFF"/>
        </w:rPr>
        <w:t xml:space="preserve">For each document, you must copy the following in a format that </w:t>
      </w:r>
      <w:proofErr w:type="gramStart"/>
      <w:r w:rsidRPr="00423D8A">
        <w:rPr>
          <w:color w:val="171717"/>
          <w:shd w:val="clear" w:color="auto" w:fill="FFFFFF"/>
        </w:rPr>
        <w:t>cannot be altered</w:t>
      </w:r>
      <w:proofErr w:type="gramEnd"/>
      <w:r w:rsidRPr="00423D8A">
        <w:rPr>
          <w:color w:val="171717"/>
          <w:shd w:val="clear" w:color="auto" w:fill="FFFFFF"/>
        </w:rPr>
        <w:t xml:space="preserve"> (for example a photocopy or scan):</w:t>
      </w:r>
    </w:p>
    <w:p w:rsidR="00020603" w:rsidRPr="00423D8A" w:rsidRDefault="00020603" w:rsidP="00020603"/>
    <w:p w:rsidR="00020603" w:rsidRPr="00423D8A" w:rsidRDefault="00020603" w:rsidP="00EB7D6C">
      <w:pPr>
        <w:pStyle w:val="ListParagraph"/>
        <w:numPr>
          <w:ilvl w:val="0"/>
          <w:numId w:val="5"/>
        </w:numPr>
        <w:rPr>
          <w:rFonts w:ascii="Gill Sans MT" w:hAnsi="Gill Sans MT"/>
        </w:rPr>
      </w:pPr>
      <w:r w:rsidRPr="00423D8A">
        <w:rPr>
          <w:rFonts w:ascii="Gill Sans MT" w:hAnsi="Gill Sans MT"/>
        </w:rPr>
        <w:t>Passports: The</w:t>
      </w:r>
      <w:r w:rsidR="00711458">
        <w:rPr>
          <w:rFonts w:ascii="Gill Sans MT" w:hAnsi="Gill Sans MT"/>
        </w:rPr>
        <w:t xml:space="preserve"> photograph page of the passport and any </w:t>
      </w:r>
      <w:r w:rsidRPr="00423D8A">
        <w:rPr>
          <w:rFonts w:ascii="Gill Sans MT" w:hAnsi="Gill Sans MT"/>
        </w:rPr>
        <w:t>page with the document expiry date, the holder’s nationality, date of birth, signature, leave expiry date, biometric details, photograph and any page containing information indicating the holder has an entitlement to enter or remain in the UK (visa or entry stamp) and undertake the work in question.</w:t>
      </w:r>
    </w:p>
    <w:p w:rsidR="00020603" w:rsidRPr="00423D8A" w:rsidRDefault="00020603" w:rsidP="00EB7D6C">
      <w:pPr>
        <w:pStyle w:val="ListParagraph"/>
        <w:numPr>
          <w:ilvl w:val="0"/>
          <w:numId w:val="5"/>
        </w:numPr>
        <w:rPr>
          <w:rFonts w:ascii="Gill Sans MT" w:hAnsi="Gill Sans MT"/>
        </w:rPr>
      </w:pPr>
      <w:r w:rsidRPr="00423D8A">
        <w:rPr>
          <w:rFonts w:ascii="Gill Sans MT" w:hAnsi="Gill Sans MT"/>
        </w:rPr>
        <w:lastRenderedPageBreak/>
        <w:t>All other documents: the document in full, including both sides of a Biometric Residence Permit, Application Registration Card and a Residence Card (biometric format).</w:t>
      </w:r>
    </w:p>
    <w:p w:rsidR="00020603" w:rsidRPr="00423D8A" w:rsidRDefault="00020603" w:rsidP="00020603"/>
    <w:p w:rsidR="00020603" w:rsidRPr="00423D8A" w:rsidRDefault="00020603" w:rsidP="00020603">
      <w:r w:rsidRPr="00423D8A">
        <w:t xml:space="preserve">It is essential that you conduct right to work checks before any work is undertaken and that the correct documents </w:t>
      </w:r>
      <w:proofErr w:type="gramStart"/>
      <w:r w:rsidRPr="00423D8A">
        <w:t>are seen</w:t>
      </w:r>
      <w:proofErr w:type="gramEnd"/>
      <w:r w:rsidRPr="00423D8A">
        <w:t xml:space="preserve">.  A list of the eligible documents is available </w:t>
      </w:r>
      <w:hyperlink r:id="rId8" w:history="1">
        <w:r w:rsidRPr="00423D8A">
          <w:rPr>
            <w:rStyle w:val="Hyperlink"/>
          </w:rPr>
          <w:t>online</w:t>
        </w:r>
      </w:hyperlink>
      <w:r w:rsidRPr="00423D8A">
        <w:t xml:space="preserve">.  </w:t>
      </w:r>
    </w:p>
    <w:p w:rsidR="00020603" w:rsidRPr="00423D8A" w:rsidRDefault="00020603" w:rsidP="00020603"/>
    <w:p w:rsidR="00020603" w:rsidRDefault="00020603" w:rsidP="00020603">
      <w:pPr>
        <w:rPr>
          <w:b/>
        </w:rPr>
      </w:pPr>
      <w:r w:rsidRPr="00423D8A">
        <w:rPr>
          <w:b/>
        </w:rPr>
        <w:t xml:space="preserve">Any copies that fail to include all of the above, or are not sufficiently clear </w:t>
      </w:r>
      <w:proofErr w:type="gramStart"/>
      <w:r w:rsidRPr="00423D8A">
        <w:rPr>
          <w:b/>
        </w:rPr>
        <w:t>will be rejected</w:t>
      </w:r>
      <w:proofErr w:type="gramEnd"/>
      <w:r w:rsidRPr="00423D8A">
        <w:rPr>
          <w:b/>
        </w:rPr>
        <w:t xml:space="preserve">, that may affect our ability to pay the employee. </w:t>
      </w:r>
    </w:p>
    <w:p w:rsidR="00020603" w:rsidRDefault="00020603" w:rsidP="00020603">
      <w:pPr>
        <w:rPr>
          <w:b/>
        </w:rPr>
      </w:pPr>
    </w:p>
    <w:p w:rsidR="00020603" w:rsidRPr="00423D8A" w:rsidRDefault="00020603" w:rsidP="00020603">
      <w:pPr>
        <w:pStyle w:val="Heading2"/>
        <w:rPr>
          <w:rFonts w:ascii="Gill Sans MT" w:hAnsi="Gill Sans MT"/>
        </w:rPr>
      </w:pPr>
      <w:r w:rsidRPr="00423D8A">
        <w:rPr>
          <w:rFonts w:ascii="Gill Sans MT" w:hAnsi="Gill Sans MT"/>
        </w:rPr>
        <w:t>Qualification Checks</w:t>
      </w:r>
    </w:p>
    <w:p w:rsidR="00020603" w:rsidRPr="00423D8A" w:rsidRDefault="00020603" w:rsidP="00020603">
      <w:r w:rsidRPr="00423D8A">
        <w:t xml:space="preserve">For all successful applicants you must provide HR with copies of any qualifications that </w:t>
      </w:r>
      <w:proofErr w:type="gramStart"/>
      <w:r w:rsidRPr="00423D8A">
        <w:t>were listed</w:t>
      </w:r>
      <w:proofErr w:type="gramEnd"/>
      <w:r w:rsidRPr="00423D8A">
        <w:t xml:space="preserve"> as essential within the advertised role. These </w:t>
      </w:r>
      <w:proofErr w:type="gramStart"/>
      <w:r w:rsidRPr="00423D8A">
        <w:t>must be uploaded</w:t>
      </w:r>
      <w:proofErr w:type="gramEnd"/>
      <w:r w:rsidRPr="00423D8A">
        <w:t xml:space="preserve"> to i-</w:t>
      </w:r>
      <w:proofErr w:type="spellStart"/>
      <w:r w:rsidRPr="00423D8A">
        <w:t>GRasp</w:t>
      </w:r>
      <w:proofErr w:type="spellEnd"/>
      <w:r w:rsidRPr="00423D8A">
        <w:t xml:space="preserve"> before HR will issue a contract of employment. </w:t>
      </w:r>
    </w:p>
    <w:p w:rsidR="009D7980" w:rsidRDefault="009D7980" w:rsidP="00F3404C">
      <w:pPr>
        <w:pStyle w:val="Heading2"/>
        <w:rPr>
          <w:rFonts w:ascii="Gill Sans MT" w:hAnsi="Gill Sans MT"/>
        </w:rPr>
      </w:pPr>
    </w:p>
    <w:p w:rsidR="00F3404C" w:rsidRPr="00423D8A" w:rsidRDefault="00F3404C" w:rsidP="00F3404C">
      <w:pPr>
        <w:pStyle w:val="Heading2"/>
        <w:rPr>
          <w:rFonts w:ascii="Gill Sans MT" w:hAnsi="Gill Sans MT"/>
        </w:rPr>
      </w:pPr>
      <w:r w:rsidRPr="00423D8A">
        <w:rPr>
          <w:rFonts w:ascii="Gill Sans MT" w:hAnsi="Gill Sans MT"/>
        </w:rPr>
        <w:t xml:space="preserve">Shortlisting </w:t>
      </w:r>
      <w:r>
        <w:rPr>
          <w:rFonts w:ascii="Gill Sans MT" w:hAnsi="Gill Sans MT"/>
        </w:rPr>
        <w:t xml:space="preserve">&amp; </w:t>
      </w:r>
      <w:r w:rsidRPr="00423D8A">
        <w:rPr>
          <w:rFonts w:ascii="Gill Sans MT" w:hAnsi="Gill Sans MT"/>
        </w:rPr>
        <w:t>Interview Record Form</w:t>
      </w:r>
    </w:p>
    <w:p w:rsidR="00F3404C" w:rsidRDefault="00F3404C" w:rsidP="00F3404C">
      <w:r>
        <w:t>It is essential that Hiring Managers fully evidence the recruitment process</w:t>
      </w:r>
      <w:r w:rsidR="000D446F">
        <w:t xml:space="preserve"> in order to meet statutory requirements. O</w:t>
      </w:r>
      <w:r>
        <w:t xml:space="preserve">nly objective information </w:t>
      </w:r>
      <w:proofErr w:type="gramStart"/>
      <w:r w:rsidR="000D446F">
        <w:t xml:space="preserve">should be </w:t>
      </w:r>
      <w:r>
        <w:t>used</w:t>
      </w:r>
      <w:proofErr w:type="gramEnd"/>
      <w:r>
        <w:t xml:space="preserve"> in the decision making process and those decisions </w:t>
      </w:r>
      <w:r w:rsidR="000D446F">
        <w:t>must be</w:t>
      </w:r>
      <w:r>
        <w:t xml:space="preserve"> justified, fair and evidence based. If the recruitment process </w:t>
      </w:r>
      <w:r w:rsidR="000D446F">
        <w:t xml:space="preserve">were to </w:t>
      </w:r>
      <w:proofErr w:type="gramStart"/>
      <w:r w:rsidR="000D446F">
        <w:t>be</w:t>
      </w:r>
      <w:r>
        <w:t xml:space="preserve"> challenged</w:t>
      </w:r>
      <w:proofErr w:type="gramEnd"/>
      <w:r>
        <w:t xml:space="preserve">, it is the responsibility of the Chair of the interview panel to demonstrate that discrimination has not occurred.  </w:t>
      </w:r>
    </w:p>
    <w:p w:rsidR="00F3404C" w:rsidRDefault="00F3404C" w:rsidP="00F3404C"/>
    <w:p w:rsidR="00F3404C" w:rsidRPr="00423D8A" w:rsidRDefault="000D446F" w:rsidP="00F3404C">
      <w:r>
        <w:t xml:space="preserve">The collection of correct evidence </w:t>
      </w:r>
      <w:r w:rsidR="00F3404C">
        <w:t xml:space="preserve">is also important </w:t>
      </w:r>
      <w:r>
        <w:t>to enable Queen Mary to sponsor</w:t>
      </w:r>
      <w:r w:rsidR="00F3404C">
        <w:t xml:space="preserve"> non-EEA staff.  Detailed shortlisting and interview notes are </w:t>
      </w:r>
      <w:r w:rsidR="006F64B2">
        <w:t xml:space="preserve">a </w:t>
      </w:r>
      <w:r w:rsidR="00F3404C">
        <w:t xml:space="preserve">crucial </w:t>
      </w:r>
      <w:r w:rsidR="006F64B2">
        <w:t xml:space="preserve">requirement for the </w:t>
      </w:r>
      <w:r w:rsidR="00F3404C">
        <w:t>Government’s Resident Labour Market Test</w:t>
      </w:r>
      <w:r w:rsidR="006F64B2">
        <w:t>.  Failure to</w:t>
      </w:r>
      <w:r>
        <w:t xml:space="preserve"> provide detailed notes throughout the recruitment process </w:t>
      </w:r>
      <w:r w:rsidR="006F64B2">
        <w:t xml:space="preserve">will hinder our ability to sponsor new staff members.  </w:t>
      </w:r>
    </w:p>
    <w:p w:rsidR="00F3404C" w:rsidRPr="00423D8A" w:rsidRDefault="00F3404C" w:rsidP="00F3404C"/>
    <w:p w:rsidR="00F3404C" w:rsidRPr="00423D8A" w:rsidRDefault="00F3404C" w:rsidP="00F3404C">
      <w:r>
        <w:t xml:space="preserve">Example forms are available on the </w:t>
      </w:r>
      <w:hyperlink r:id="rId9" w:history="1">
        <w:r w:rsidRPr="009C689E">
          <w:rPr>
            <w:rStyle w:val="Hyperlink"/>
          </w:rPr>
          <w:t>HR Website</w:t>
        </w:r>
      </w:hyperlink>
    </w:p>
    <w:p w:rsidR="00F3404C" w:rsidRDefault="00F3404C" w:rsidP="00F3404C">
      <w:pPr>
        <w:pStyle w:val="Heading2"/>
        <w:rPr>
          <w:rFonts w:ascii="Gill Sans MT" w:hAnsi="Gill Sans MT"/>
        </w:rPr>
      </w:pPr>
    </w:p>
    <w:p w:rsidR="009D7980" w:rsidRPr="00423D8A" w:rsidRDefault="009D7980" w:rsidP="009D7980">
      <w:r w:rsidRPr="00423D8A">
        <w:t>For more details on recruit</w:t>
      </w:r>
      <w:r>
        <w:t>ment</w:t>
      </w:r>
      <w:r w:rsidRPr="00423D8A">
        <w:t xml:space="preserve"> at Queen Mary, </w:t>
      </w:r>
      <w:r>
        <w:t xml:space="preserve">please refer to </w:t>
      </w:r>
      <w:r w:rsidRPr="00423D8A">
        <w:t xml:space="preserve">our policies and procedures online at </w:t>
      </w:r>
      <w:hyperlink r:id="rId10" w:history="1">
        <w:r w:rsidRPr="00423D8A">
          <w:rPr>
            <w:rStyle w:val="Hyperlink"/>
          </w:rPr>
          <w:t>http://hr.qmul.ac.uk/procedures/recruit/</w:t>
        </w:r>
      </w:hyperlink>
      <w:r w:rsidRPr="00423D8A">
        <w:t xml:space="preserve"> </w:t>
      </w:r>
    </w:p>
    <w:p w:rsidR="00760847" w:rsidRDefault="0045730F" w:rsidP="00020603"/>
    <w:sectPr w:rsidR="00760847" w:rsidSect="00020603">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30F" w:rsidRDefault="0045730F" w:rsidP="00020603">
      <w:r>
        <w:separator/>
      </w:r>
    </w:p>
  </w:endnote>
  <w:endnote w:type="continuationSeparator" w:id="0">
    <w:p w:rsidR="0045730F" w:rsidRDefault="0045730F" w:rsidP="0002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03" w:rsidRPr="00C63BC9" w:rsidRDefault="00020603" w:rsidP="00020603">
    <w:pPr>
      <w:pStyle w:val="Footer"/>
      <w:jc w:val="right"/>
      <w:rPr>
        <w:color w:val="002F87"/>
      </w:rPr>
    </w:pPr>
  </w:p>
  <w:tbl>
    <w:tblPr>
      <w:tblStyle w:val="TableGrid"/>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8"/>
      <w:gridCol w:w="3713"/>
    </w:tblGrid>
    <w:tr w:rsidR="00020603" w:rsidTr="00EC2528">
      <w:tc>
        <w:tcPr>
          <w:tcW w:w="5670" w:type="dxa"/>
        </w:tcPr>
        <w:tbl>
          <w:tblPr>
            <w:tblStyle w:val="TableGrid"/>
            <w:tblW w:w="5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3130"/>
          </w:tblGrid>
          <w:tr w:rsidR="00020603" w:rsidRPr="00D95FEF" w:rsidTr="00D95FEF">
            <w:tc>
              <w:tcPr>
                <w:tcW w:w="2722" w:type="dxa"/>
              </w:tcPr>
              <w:p w:rsidR="00020603" w:rsidRPr="00D95FEF" w:rsidRDefault="00020603" w:rsidP="00020603">
                <w:pPr>
                  <w:pStyle w:val="Header"/>
                  <w:rPr>
                    <w:color w:val="00338D"/>
                  </w:rPr>
                </w:pPr>
                <w:r w:rsidRPr="00D95FEF">
                  <w:rPr>
                    <w:b/>
                    <w:color w:val="00338D"/>
                    <w:sz w:val="32"/>
                    <w:szCs w:val="32"/>
                  </w:rPr>
                  <w:t>hr.qmul.ac.uk</w:t>
                </w:r>
              </w:p>
            </w:tc>
            <w:tc>
              <w:tcPr>
                <w:tcW w:w="3130" w:type="dxa"/>
              </w:tcPr>
              <w:p w:rsidR="00020603" w:rsidRPr="00D95FEF" w:rsidRDefault="00020603" w:rsidP="00020603">
                <w:pPr>
                  <w:pStyle w:val="Header"/>
                  <w:jc w:val="right"/>
                  <w:rPr>
                    <w:color w:val="00338D"/>
                  </w:rPr>
                </w:pPr>
                <w:r w:rsidRPr="00D95FEF">
                  <w:rPr>
                    <w:color w:val="00338D"/>
                  </w:rPr>
                  <w:t xml:space="preserve">Page </w:t>
                </w:r>
                <w:r w:rsidRPr="00D95FEF">
                  <w:rPr>
                    <w:b/>
                    <w:bCs/>
                    <w:color w:val="00338D"/>
                    <w:sz w:val="24"/>
                    <w:szCs w:val="24"/>
                  </w:rPr>
                  <w:fldChar w:fldCharType="begin"/>
                </w:r>
                <w:r w:rsidRPr="00D95FEF">
                  <w:rPr>
                    <w:b/>
                    <w:bCs/>
                    <w:color w:val="00338D"/>
                  </w:rPr>
                  <w:instrText xml:space="preserve"> PAGE </w:instrText>
                </w:r>
                <w:r w:rsidRPr="00D95FEF">
                  <w:rPr>
                    <w:b/>
                    <w:bCs/>
                    <w:color w:val="00338D"/>
                    <w:sz w:val="24"/>
                    <w:szCs w:val="24"/>
                  </w:rPr>
                  <w:fldChar w:fldCharType="separate"/>
                </w:r>
                <w:r w:rsidR="00711458">
                  <w:rPr>
                    <w:b/>
                    <w:bCs/>
                    <w:noProof/>
                    <w:color w:val="00338D"/>
                  </w:rPr>
                  <w:t>3</w:t>
                </w:r>
                <w:r w:rsidRPr="00D95FEF">
                  <w:rPr>
                    <w:b/>
                    <w:bCs/>
                    <w:color w:val="00338D"/>
                    <w:sz w:val="24"/>
                    <w:szCs w:val="24"/>
                  </w:rPr>
                  <w:fldChar w:fldCharType="end"/>
                </w:r>
                <w:r w:rsidRPr="00D95FEF">
                  <w:rPr>
                    <w:color w:val="00338D"/>
                  </w:rPr>
                  <w:t xml:space="preserve"> of </w:t>
                </w:r>
                <w:r w:rsidRPr="00D95FEF">
                  <w:rPr>
                    <w:b/>
                    <w:bCs/>
                    <w:color w:val="00338D"/>
                    <w:sz w:val="24"/>
                    <w:szCs w:val="24"/>
                  </w:rPr>
                  <w:fldChar w:fldCharType="begin"/>
                </w:r>
                <w:r w:rsidRPr="00D95FEF">
                  <w:rPr>
                    <w:b/>
                    <w:bCs/>
                    <w:color w:val="00338D"/>
                  </w:rPr>
                  <w:instrText xml:space="preserve"> NUMPAGES  </w:instrText>
                </w:r>
                <w:r w:rsidRPr="00D95FEF">
                  <w:rPr>
                    <w:b/>
                    <w:bCs/>
                    <w:color w:val="00338D"/>
                    <w:sz w:val="24"/>
                    <w:szCs w:val="24"/>
                  </w:rPr>
                  <w:fldChar w:fldCharType="separate"/>
                </w:r>
                <w:r w:rsidR="00711458">
                  <w:rPr>
                    <w:b/>
                    <w:bCs/>
                    <w:noProof/>
                    <w:color w:val="00338D"/>
                  </w:rPr>
                  <w:t>3</w:t>
                </w:r>
                <w:r w:rsidRPr="00D95FEF">
                  <w:rPr>
                    <w:b/>
                    <w:bCs/>
                    <w:color w:val="00338D"/>
                    <w:sz w:val="24"/>
                    <w:szCs w:val="24"/>
                  </w:rPr>
                  <w:fldChar w:fldCharType="end"/>
                </w:r>
              </w:p>
            </w:tc>
          </w:tr>
        </w:tbl>
        <w:p w:rsidR="00020603" w:rsidRPr="00020603" w:rsidRDefault="00020603" w:rsidP="00020603">
          <w:pPr>
            <w:pStyle w:val="Header"/>
            <w:jc w:val="right"/>
            <w:rPr>
              <w:rFonts w:ascii="Franklin Gothic Book" w:hAnsi="Franklin Gothic Book"/>
              <w:color w:val="00338D"/>
            </w:rPr>
          </w:pPr>
        </w:p>
      </w:tc>
      <w:tc>
        <w:tcPr>
          <w:tcW w:w="4111" w:type="dxa"/>
        </w:tcPr>
        <w:p w:rsidR="00020603" w:rsidRDefault="00711458" w:rsidP="00020603">
          <w:pPr>
            <w:pStyle w:val="Footer"/>
            <w:jc w:val="right"/>
            <w:rPr>
              <w:color w:val="002F87"/>
            </w:rPr>
          </w:pPr>
          <w:r>
            <w:rPr>
              <w:color w:val="002F87"/>
            </w:rPr>
            <w:t>V2.0 August 2019</w:t>
          </w:r>
        </w:p>
      </w:tc>
    </w:tr>
  </w:tbl>
  <w:p w:rsidR="00D95FEF" w:rsidRDefault="00D95FEF" w:rsidP="00D95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EF" w:rsidRDefault="00D95FEF">
    <w:pPr>
      <w:pStyle w:val="Footer"/>
    </w:pPr>
    <w:r>
      <w:rPr>
        <w:noProof/>
        <w:lang w:eastAsia="en-GB"/>
      </w:rPr>
      <mc:AlternateContent>
        <mc:Choice Requires="wps">
          <w:drawing>
            <wp:anchor distT="0" distB="0" distL="114300" distR="114300" simplePos="0" relativeHeight="251659264" behindDoc="1" locked="0" layoutInCell="1" allowOverlap="1" wp14:anchorId="3B9FA07B" wp14:editId="75DC6898">
              <wp:simplePos x="0" y="0"/>
              <wp:positionH relativeFrom="page">
                <wp:align>right</wp:align>
              </wp:positionH>
              <wp:positionV relativeFrom="paragraph">
                <wp:posOffset>-314960</wp:posOffset>
              </wp:positionV>
              <wp:extent cx="7552055" cy="1229360"/>
              <wp:effectExtent l="0" t="0" r="0" b="8890"/>
              <wp:wrapNone/>
              <wp:docPr id="24" name="Rectangle 24"/>
              <wp:cNvGraphicFramePr/>
              <a:graphic xmlns:a="http://schemas.openxmlformats.org/drawingml/2006/main">
                <a:graphicData uri="http://schemas.microsoft.com/office/word/2010/wordprocessingShape">
                  <wps:wsp>
                    <wps:cNvSpPr/>
                    <wps:spPr>
                      <a:xfrm>
                        <a:off x="0" y="0"/>
                        <a:ext cx="7552055" cy="1229360"/>
                      </a:xfrm>
                      <a:prstGeom prst="rect">
                        <a:avLst/>
                      </a:prstGeom>
                      <a:solidFill>
                        <a:srgbClr val="0033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FEF" w:rsidRDefault="00D95FEF" w:rsidP="00D95FEF">
                          <w:pPr>
                            <w:ind w:firstLine="720"/>
                            <w:rPr>
                              <w:b/>
                              <w:sz w:val="40"/>
                              <w:szCs w:val="40"/>
                            </w:rPr>
                          </w:pPr>
                          <w:r w:rsidRPr="00277642">
                            <w:rPr>
                              <w:b/>
                              <w:sz w:val="40"/>
                              <w:szCs w:val="40"/>
                            </w:rPr>
                            <w:t>hr.qmul.ac.uk</w:t>
                          </w:r>
                        </w:p>
                        <w:p w:rsidR="00D95FEF" w:rsidRDefault="00D95FEF" w:rsidP="00D95FEF">
                          <w:pPr>
                            <w:ind w:firstLine="720"/>
                            <w:rPr>
                              <w:b/>
                              <w:sz w:val="40"/>
                              <w:szCs w:val="40"/>
                            </w:rPr>
                          </w:pPr>
                        </w:p>
                        <w:p w:rsidR="00D95FEF" w:rsidRPr="00277642" w:rsidRDefault="00D95FEF" w:rsidP="00D95FEF">
                          <w:pPr>
                            <w:ind w:firstLine="720"/>
                            <w:rPr>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FA07B" id="Rectangle 24" o:spid="_x0000_s1026" style="position:absolute;margin-left:543.45pt;margin-top:-24.8pt;width:594.65pt;height:96.8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" fillcolor="#00338d" stroked="f" strokeweight="1pt">
              <v:textbox>
                <w:txbxContent>
                  <w:p w:rsidR="00D95FEF" w:rsidRDefault="00D95FEF" w:rsidP="00D95FEF">
                    <w:pPr>
                      <w:ind w:firstLine="720"/>
                      <w:rPr>
                        <w:b/>
                        <w:sz w:val="40"/>
                        <w:szCs w:val="40"/>
                      </w:rPr>
                    </w:pPr>
                    <w:r w:rsidRPr="00277642">
                      <w:rPr>
                        <w:b/>
                        <w:sz w:val="40"/>
                        <w:szCs w:val="40"/>
                      </w:rPr>
                      <w:t>hr.qmul.ac.uk</w:t>
                    </w:r>
                  </w:p>
                  <w:p w:rsidR="00D95FEF" w:rsidRDefault="00D95FEF" w:rsidP="00D95FEF">
                    <w:pPr>
                      <w:ind w:firstLine="720"/>
                      <w:rPr>
                        <w:b/>
                        <w:sz w:val="40"/>
                        <w:szCs w:val="40"/>
                      </w:rPr>
                    </w:pPr>
                  </w:p>
                  <w:p w:rsidR="00D95FEF" w:rsidRPr="00277642" w:rsidRDefault="00D95FEF" w:rsidP="00D95FEF">
                    <w:pPr>
                      <w:ind w:firstLine="720"/>
                      <w:rPr>
                        <w:b/>
                        <w:sz w:val="40"/>
                        <w:szCs w:val="40"/>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30F" w:rsidRDefault="0045730F" w:rsidP="00020603">
      <w:r>
        <w:separator/>
      </w:r>
    </w:p>
  </w:footnote>
  <w:footnote w:type="continuationSeparator" w:id="0">
    <w:p w:rsidR="0045730F" w:rsidRDefault="0045730F" w:rsidP="0002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18" w:space="0" w:color="002F87"/>
      </w:tblBorders>
      <w:tblLook w:val="0000" w:firstRow="0" w:lastRow="0" w:firstColumn="0" w:lastColumn="0" w:noHBand="0" w:noVBand="0"/>
    </w:tblPr>
    <w:tblGrid>
      <w:gridCol w:w="6230"/>
      <w:gridCol w:w="2688"/>
    </w:tblGrid>
    <w:tr w:rsidR="00020603" w:rsidRPr="00AD38C6" w:rsidTr="00EC2528">
      <w:trPr>
        <w:cantSplit/>
        <w:trHeight w:val="709"/>
      </w:trPr>
      <w:tc>
        <w:tcPr>
          <w:tcW w:w="6939" w:type="dxa"/>
        </w:tcPr>
        <w:p w:rsidR="00020603" w:rsidRPr="00AD38C6" w:rsidRDefault="00020603" w:rsidP="00020603">
          <w:pPr>
            <w:tabs>
              <w:tab w:val="center" w:pos="4536"/>
              <w:tab w:val="right" w:pos="9072"/>
            </w:tabs>
            <w:rPr>
              <w:rFonts w:cs="Arial"/>
              <w:color w:val="002F87"/>
              <w:sz w:val="36"/>
              <w:szCs w:val="36"/>
            </w:rPr>
          </w:pPr>
          <w:r>
            <w:rPr>
              <w:rFonts w:cs="Arial"/>
              <w:color w:val="002F87"/>
              <w:sz w:val="36"/>
              <w:szCs w:val="36"/>
            </w:rPr>
            <w:t>Recruitment Advice For Managers</w:t>
          </w:r>
        </w:p>
      </w:tc>
      <w:tc>
        <w:tcPr>
          <w:tcW w:w="2678" w:type="dxa"/>
          <w:tcMar>
            <w:right w:w="0" w:type="dxa"/>
          </w:tcMar>
        </w:tcPr>
        <w:p w:rsidR="00020603" w:rsidRPr="00AD38C6" w:rsidRDefault="00020603" w:rsidP="00020603">
          <w:pPr>
            <w:tabs>
              <w:tab w:val="center" w:pos="4536"/>
              <w:tab w:val="right" w:pos="9072"/>
            </w:tabs>
            <w:jc w:val="right"/>
            <w:rPr>
              <w:rFonts w:cs="Arial"/>
              <w:color w:val="002F87"/>
              <w:sz w:val="40"/>
              <w:szCs w:val="40"/>
            </w:rPr>
          </w:pPr>
          <w:r w:rsidRPr="00AD38C6">
            <w:rPr>
              <w:rFonts w:cs="Arial"/>
              <w:noProof/>
              <w:color w:val="002F87"/>
              <w:sz w:val="40"/>
              <w:szCs w:val="40"/>
              <w:lang w:eastAsia="en-GB"/>
            </w:rPr>
            <w:drawing>
              <wp:inline distT="0" distB="0" distL="0" distR="0" wp14:anchorId="0C2C20E6" wp14:editId="13F6D2E7">
                <wp:extent cx="1628775" cy="428625"/>
                <wp:effectExtent l="0" t="0" r="9525" b="9525"/>
                <wp:docPr id="2" name="Picture 2"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tc>
    </w:tr>
  </w:tbl>
  <w:p w:rsidR="00020603" w:rsidRDefault="00020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03" w:rsidRDefault="00020603" w:rsidP="00020603">
    <w:pPr>
      <w:pStyle w:val="Header"/>
      <w:jc w:val="right"/>
    </w:pPr>
    <w:r w:rsidRPr="00AD38C6">
      <w:rPr>
        <w:rFonts w:cs="Arial"/>
        <w:noProof/>
        <w:color w:val="002F87"/>
        <w:sz w:val="40"/>
        <w:szCs w:val="40"/>
        <w:lang w:eastAsia="en-GB"/>
      </w:rPr>
      <w:drawing>
        <wp:anchor distT="0" distB="0" distL="114300" distR="114300" simplePos="0" relativeHeight="251660288" behindDoc="1" locked="0" layoutInCell="1" allowOverlap="1">
          <wp:simplePos x="0" y="0"/>
          <wp:positionH relativeFrom="column">
            <wp:posOffset>3133725</wp:posOffset>
          </wp:positionH>
          <wp:positionV relativeFrom="paragraph">
            <wp:posOffset>-182880</wp:posOffset>
          </wp:positionV>
          <wp:extent cx="3257550" cy="857250"/>
          <wp:effectExtent l="0" t="0" r="0" b="0"/>
          <wp:wrapNone/>
          <wp:docPr id="1" name="Picture 1"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logo lar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57550" cy="857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A0CCE"/>
    <w:multiLevelType w:val="hybridMultilevel"/>
    <w:tmpl w:val="F088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17120"/>
    <w:multiLevelType w:val="hybridMultilevel"/>
    <w:tmpl w:val="5734E848"/>
    <w:lvl w:ilvl="0" w:tplc="C826F66A">
      <w:start w:val="1"/>
      <w:numFmt w:val="bullet"/>
      <w:lvlText w:val=""/>
      <w:lvlJc w:val="left"/>
      <w:pPr>
        <w:ind w:left="720" w:hanging="360"/>
      </w:pPr>
      <w:rPr>
        <w:rFonts w:ascii="ZapfDingbats" w:hAnsi="ZapfDingbat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D65788"/>
    <w:multiLevelType w:val="hybridMultilevel"/>
    <w:tmpl w:val="1BB09DC8"/>
    <w:lvl w:ilvl="0" w:tplc="C826F66A">
      <w:start w:val="1"/>
      <w:numFmt w:val="bullet"/>
      <w:lvlText w:val=""/>
      <w:lvlJc w:val="left"/>
      <w:pPr>
        <w:ind w:left="720" w:hanging="360"/>
      </w:pPr>
      <w:rPr>
        <w:rFonts w:ascii="ZapfDingbats" w:hAnsi="ZapfDingbats" w:hint="default"/>
        <w:color w:val="002F87"/>
        <w:sz w:val="20"/>
        <w:szCs w:val="20"/>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EF528C"/>
    <w:multiLevelType w:val="hybridMultilevel"/>
    <w:tmpl w:val="E8BAC00E"/>
    <w:lvl w:ilvl="0" w:tplc="C826F66A">
      <w:start w:val="1"/>
      <w:numFmt w:val="bullet"/>
      <w:lvlText w:val=""/>
      <w:lvlJc w:val="left"/>
      <w:pPr>
        <w:tabs>
          <w:tab w:val="num" w:pos="720"/>
        </w:tabs>
        <w:ind w:left="720" w:hanging="360"/>
      </w:pPr>
      <w:rPr>
        <w:rFonts w:ascii="ZapfDingbats" w:hAnsi="ZapfDingbats" w:hint="default"/>
        <w:color w:val="002F87"/>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74672F"/>
    <w:multiLevelType w:val="hybridMultilevel"/>
    <w:tmpl w:val="891A4EDA"/>
    <w:lvl w:ilvl="0" w:tplc="C826F66A">
      <w:start w:val="1"/>
      <w:numFmt w:val="bullet"/>
      <w:lvlText w:val=""/>
      <w:lvlJc w:val="left"/>
      <w:pPr>
        <w:ind w:left="720" w:hanging="360"/>
      </w:pPr>
      <w:rPr>
        <w:rFonts w:ascii="ZapfDingbats" w:hAnsi="ZapfDingbat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03"/>
    <w:rsid w:val="00012C13"/>
    <w:rsid w:val="00020603"/>
    <w:rsid w:val="00053458"/>
    <w:rsid w:val="000D446F"/>
    <w:rsid w:val="003772D4"/>
    <w:rsid w:val="00446ABB"/>
    <w:rsid w:val="0045730F"/>
    <w:rsid w:val="004D4D16"/>
    <w:rsid w:val="00607D28"/>
    <w:rsid w:val="006F64B2"/>
    <w:rsid w:val="00711458"/>
    <w:rsid w:val="007E3A52"/>
    <w:rsid w:val="00850DC7"/>
    <w:rsid w:val="0090696E"/>
    <w:rsid w:val="009329AA"/>
    <w:rsid w:val="009C689E"/>
    <w:rsid w:val="009D7980"/>
    <w:rsid w:val="00A76207"/>
    <w:rsid w:val="00CD4739"/>
    <w:rsid w:val="00D7533C"/>
    <w:rsid w:val="00D95FEF"/>
    <w:rsid w:val="00EB7D6C"/>
    <w:rsid w:val="00F34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CD7D1"/>
  <w15:chartTrackingRefBased/>
  <w15:docId w15:val="{EF50554D-D255-451D-BD01-9D26A04A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603"/>
    <w:pPr>
      <w:spacing w:after="0" w:line="240" w:lineRule="auto"/>
    </w:pPr>
    <w:rPr>
      <w:rFonts w:ascii="Gill Sans MT" w:hAnsi="Gill Sans MT"/>
    </w:rPr>
  </w:style>
  <w:style w:type="paragraph" w:styleId="Heading1">
    <w:name w:val="heading 1"/>
    <w:basedOn w:val="Normal"/>
    <w:next w:val="Normal"/>
    <w:link w:val="Heading1Char"/>
    <w:uiPriority w:val="9"/>
    <w:qFormat/>
    <w:rsid w:val="007E3A52"/>
    <w:pPr>
      <w:keepNext/>
      <w:keepLines/>
      <w:spacing w:before="240"/>
      <w:outlineLvl w:val="0"/>
    </w:pPr>
    <w:rPr>
      <w:rFonts w:ascii="Franklin Gothic Book" w:eastAsiaTheme="majorEastAsia" w:hAnsi="Franklin Gothic Book" w:cstheme="majorBidi"/>
      <w:color w:val="00338D"/>
      <w:sz w:val="32"/>
      <w:szCs w:val="32"/>
    </w:rPr>
  </w:style>
  <w:style w:type="paragraph" w:styleId="Heading2">
    <w:name w:val="heading 2"/>
    <w:basedOn w:val="Normal"/>
    <w:next w:val="Normal"/>
    <w:link w:val="Heading2Char"/>
    <w:uiPriority w:val="9"/>
    <w:unhideWhenUsed/>
    <w:qFormat/>
    <w:rsid w:val="007E3A52"/>
    <w:pPr>
      <w:keepNext/>
      <w:keepLines/>
      <w:spacing w:before="40"/>
      <w:outlineLvl w:val="1"/>
    </w:pPr>
    <w:rPr>
      <w:rFonts w:ascii="Franklin Gothic Book" w:eastAsiaTheme="majorEastAsia" w:hAnsi="Franklin Gothic Book" w:cstheme="majorBidi"/>
      <w:color w:val="00338D"/>
      <w:sz w:val="26"/>
      <w:szCs w:val="26"/>
    </w:rPr>
  </w:style>
  <w:style w:type="paragraph" w:styleId="Heading3">
    <w:name w:val="heading 3"/>
    <w:basedOn w:val="Normal"/>
    <w:next w:val="Normal"/>
    <w:link w:val="Heading3Char"/>
    <w:uiPriority w:val="9"/>
    <w:unhideWhenUsed/>
    <w:qFormat/>
    <w:rsid w:val="007E3A52"/>
    <w:pPr>
      <w:keepNext/>
      <w:keepLines/>
      <w:spacing w:before="40"/>
      <w:outlineLvl w:val="2"/>
    </w:pPr>
    <w:rPr>
      <w:rFonts w:ascii="Franklin Gothic Book" w:eastAsiaTheme="majorEastAsia" w:hAnsi="Franklin Gothic Book" w:cstheme="majorBidi"/>
      <w:color w:val="00338D"/>
      <w:sz w:val="24"/>
      <w:szCs w:val="24"/>
    </w:rPr>
  </w:style>
  <w:style w:type="paragraph" w:styleId="Heading4">
    <w:name w:val="heading 4"/>
    <w:basedOn w:val="Normal"/>
    <w:next w:val="Normal"/>
    <w:link w:val="Heading4Char"/>
    <w:uiPriority w:val="9"/>
    <w:unhideWhenUsed/>
    <w:qFormat/>
    <w:rsid w:val="007E3A52"/>
    <w:pPr>
      <w:keepNext/>
      <w:keepLines/>
      <w:spacing w:before="40"/>
      <w:outlineLvl w:val="3"/>
    </w:pPr>
    <w:rPr>
      <w:rFonts w:ascii="Franklin Gothic Book" w:eastAsiaTheme="majorEastAsia" w:hAnsi="Franklin Gothic Book" w:cstheme="majorBidi"/>
      <w:iCs/>
      <w:color w:val="00338D"/>
    </w:rPr>
  </w:style>
  <w:style w:type="paragraph" w:styleId="Heading5">
    <w:name w:val="heading 5"/>
    <w:basedOn w:val="Normal"/>
    <w:next w:val="Normal"/>
    <w:link w:val="Heading5Char"/>
    <w:uiPriority w:val="9"/>
    <w:unhideWhenUsed/>
    <w:qFormat/>
    <w:rsid w:val="00020603"/>
    <w:pPr>
      <w:keepNext/>
      <w:keepLines/>
      <w:spacing w:before="40"/>
      <w:outlineLvl w:val="4"/>
    </w:pPr>
    <w:rPr>
      <w:rFonts w:ascii="Franklin Gothic Book" w:eastAsiaTheme="majorEastAsia" w:hAnsi="Franklin Gothic Book"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3772D4"/>
    <w:pPr>
      <w:spacing w:before="120"/>
    </w:pPr>
    <w:rPr>
      <w:b/>
      <w:bCs/>
      <w:i/>
      <w:iCs/>
      <w:color w:val="002F87"/>
      <w:sz w:val="24"/>
      <w:szCs w:val="24"/>
    </w:rPr>
  </w:style>
  <w:style w:type="character" w:customStyle="1" w:styleId="Heading1Char">
    <w:name w:val="Heading 1 Char"/>
    <w:basedOn w:val="DefaultParagraphFont"/>
    <w:link w:val="Heading1"/>
    <w:uiPriority w:val="9"/>
    <w:rsid w:val="007E3A52"/>
    <w:rPr>
      <w:rFonts w:ascii="Franklin Gothic Book" w:eastAsiaTheme="majorEastAsia" w:hAnsi="Franklin Gothic Book" w:cstheme="majorBidi"/>
      <w:color w:val="00338D"/>
      <w:sz w:val="32"/>
      <w:szCs w:val="32"/>
    </w:rPr>
  </w:style>
  <w:style w:type="character" w:customStyle="1" w:styleId="Heading2Char">
    <w:name w:val="Heading 2 Char"/>
    <w:basedOn w:val="DefaultParagraphFont"/>
    <w:link w:val="Heading2"/>
    <w:uiPriority w:val="9"/>
    <w:rsid w:val="007E3A52"/>
    <w:rPr>
      <w:rFonts w:ascii="Franklin Gothic Book" w:eastAsiaTheme="majorEastAsia" w:hAnsi="Franklin Gothic Book" w:cstheme="majorBidi"/>
      <w:color w:val="00338D"/>
      <w:sz w:val="26"/>
      <w:szCs w:val="26"/>
    </w:rPr>
  </w:style>
  <w:style w:type="character" w:customStyle="1" w:styleId="Heading3Char">
    <w:name w:val="Heading 3 Char"/>
    <w:basedOn w:val="DefaultParagraphFont"/>
    <w:link w:val="Heading3"/>
    <w:uiPriority w:val="9"/>
    <w:rsid w:val="007E3A52"/>
    <w:rPr>
      <w:rFonts w:ascii="Franklin Gothic Book" w:eastAsiaTheme="majorEastAsia" w:hAnsi="Franklin Gothic Book" w:cstheme="majorBidi"/>
      <w:color w:val="00338D"/>
      <w:sz w:val="24"/>
      <w:szCs w:val="24"/>
    </w:rPr>
  </w:style>
  <w:style w:type="character" w:customStyle="1" w:styleId="Heading4Char">
    <w:name w:val="Heading 4 Char"/>
    <w:basedOn w:val="DefaultParagraphFont"/>
    <w:link w:val="Heading4"/>
    <w:uiPriority w:val="9"/>
    <w:rsid w:val="007E3A52"/>
    <w:rPr>
      <w:rFonts w:ascii="Franklin Gothic Book" w:eastAsiaTheme="majorEastAsia" w:hAnsi="Franklin Gothic Book" w:cstheme="majorBidi"/>
      <w:iCs/>
      <w:color w:val="00338D"/>
    </w:rPr>
  </w:style>
  <w:style w:type="paragraph" w:styleId="NoSpacing">
    <w:name w:val="No Spacing"/>
    <w:uiPriority w:val="1"/>
    <w:qFormat/>
    <w:rsid w:val="00020603"/>
    <w:pPr>
      <w:spacing w:after="0" w:line="240" w:lineRule="auto"/>
    </w:pPr>
  </w:style>
  <w:style w:type="character" w:customStyle="1" w:styleId="Heading5Char">
    <w:name w:val="Heading 5 Char"/>
    <w:basedOn w:val="DefaultParagraphFont"/>
    <w:link w:val="Heading5"/>
    <w:uiPriority w:val="9"/>
    <w:rsid w:val="00020603"/>
    <w:rPr>
      <w:rFonts w:ascii="Franklin Gothic Book" w:eastAsiaTheme="majorEastAsia" w:hAnsi="Franklin Gothic Book" w:cstheme="majorBidi"/>
      <w:color w:val="2E74B5" w:themeColor="accent1" w:themeShade="BF"/>
    </w:rPr>
  </w:style>
  <w:style w:type="paragraph" w:styleId="Header">
    <w:name w:val="header"/>
    <w:basedOn w:val="Normal"/>
    <w:link w:val="HeaderChar"/>
    <w:uiPriority w:val="99"/>
    <w:unhideWhenUsed/>
    <w:rsid w:val="00020603"/>
    <w:pPr>
      <w:tabs>
        <w:tab w:val="center" w:pos="4513"/>
        <w:tab w:val="right" w:pos="9026"/>
      </w:tabs>
    </w:pPr>
  </w:style>
  <w:style w:type="character" w:customStyle="1" w:styleId="HeaderChar">
    <w:name w:val="Header Char"/>
    <w:basedOn w:val="DefaultParagraphFont"/>
    <w:link w:val="Header"/>
    <w:uiPriority w:val="99"/>
    <w:rsid w:val="00020603"/>
    <w:rPr>
      <w:rFonts w:ascii="Gill Sans MT" w:hAnsi="Gill Sans MT"/>
    </w:rPr>
  </w:style>
  <w:style w:type="paragraph" w:styleId="Footer">
    <w:name w:val="footer"/>
    <w:basedOn w:val="Normal"/>
    <w:link w:val="FooterChar"/>
    <w:uiPriority w:val="99"/>
    <w:unhideWhenUsed/>
    <w:rsid w:val="00020603"/>
    <w:pPr>
      <w:tabs>
        <w:tab w:val="center" w:pos="4513"/>
        <w:tab w:val="right" w:pos="9026"/>
      </w:tabs>
    </w:pPr>
  </w:style>
  <w:style w:type="character" w:customStyle="1" w:styleId="FooterChar">
    <w:name w:val="Footer Char"/>
    <w:basedOn w:val="DefaultParagraphFont"/>
    <w:link w:val="Footer"/>
    <w:uiPriority w:val="99"/>
    <w:rsid w:val="00020603"/>
    <w:rPr>
      <w:rFonts w:ascii="Gill Sans MT" w:hAnsi="Gill Sans MT"/>
    </w:rPr>
  </w:style>
  <w:style w:type="table" w:styleId="TableGrid">
    <w:name w:val="Table Grid"/>
    <w:basedOn w:val="TableNormal"/>
    <w:uiPriority w:val="39"/>
    <w:rsid w:val="0002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rmat">
    <w:name w:val="Header Format"/>
    <w:basedOn w:val="TOCHeading"/>
    <w:link w:val="HeaderFormatChar"/>
    <w:qFormat/>
    <w:rsid w:val="00020603"/>
    <w:pPr>
      <w:keepNext w:val="0"/>
      <w:spacing w:before="0"/>
    </w:pPr>
    <w:rPr>
      <w:rFonts w:ascii="Franklin Gothic Book" w:hAnsi="Franklin Gothic Book"/>
      <w:color w:val="00338D"/>
      <w:sz w:val="40"/>
    </w:rPr>
  </w:style>
  <w:style w:type="character" w:customStyle="1" w:styleId="HeaderFormatChar">
    <w:name w:val="Header Format Char"/>
    <w:basedOn w:val="DefaultParagraphFont"/>
    <w:link w:val="HeaderFormat"/>
    <w:rsid w:val="00020603"/>
    <w:rPr>
      <w:rFonts w:ascii="Franklin Gothic Book" w:eastAsiaTheme="majorEastAsia" w:hAnsi="Franklin Gothic Book" w:cstheme="majorBidi"/>
      <w:color w:val="00338D"/>
      <w:sz w:val="40"/>
      <w:szCs w:val="32"/>
    </w:rPr>
  </w:style>
  <w:style w:type="paragraph" w:styleId="TOCHeading">
    <w:name w:val="TOC Heading"/>
    <w:basedOn w:val="Heading1"/>
    <w:next w:val="Normal"/>
    <w:uiPriority w:val="39"/>
    <w:semiHidden/>
    <w:unhideWhenUsed/>
    <w:qFormat/>
    <w:rsid w:val="00020603"/>
    <w:pPr>
      <w:outlineLvl w:val="9"/>
    </w:pPr>
    <w:rPr>
      <w:rFonts w:asciiTheme="majorHAnsi" w:hAnsiTheme="majorHAnsi"/>
      <w:color w:val="2E74B5" w:themeColor="accent1" w:themeShade="BF"/>
    </w:rPr>
  </w:style>
  <w:style w:type="paragraph" w:styleId="ListParagraph">
    <w:name w:val="List Paragraph"/>
    <w:basedOn w:val="Normal"/>
    <w:uiPriority w:val="34"/>
    <w:qFormat/>
    <w:rsid w:val="00020603"/>
    <w:pPr>
      <w:ind w:left="720"/>
      <w:contextualSpacing/>
    </w:pPr>
    <w:rPr>
      <w:rFonts w:ascii="Franklin Gothic Book" w:hAnsi="Franklin Gothic Book"/>
    </w:rPr>
  </w:style>
  <w:style w:type="character" w:styleId="Hyperlink">
    <w:name w:val="Hyperlink"/>
    <w:basedOn w:val="DefaultParagraphFont"/>
    <w:uiPriority w:val="99"/>
    <w:unhideWhenUsed/>
    <w:rsid w:val="00020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77261">
      <w:bodyDiv w:val="1"/>
      <w:marLeft w:val="0"/>
      <w:marRight w:val="0"/>
      <w:marTop w:val="0"/>
      <w:marBottom w:val="0"/>
      <w:divBdr>
        <w:top w:val="none" w:sz="0" w:space="0" w:color="auto"/>
        <w:left w:val="none" w:sz="0" w:space="0" w:color="auto"/>
        <w:bottom w:val="none" w:sz="0" w:space="0" w:color="auto"/>
        <w:right w:val="none" w:sz="0" w:space="0" w:color="auto"/>
      </w:divBdr>
    </w:div>
    <w:div w:id="20659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78926/employers_right_to_work_checklist_november_2014.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hr.qmul.ac.uk/media/hr/docs/working-at-qm/Recruitment-Checklist.doc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r.qmul.ac.uk/procedures/recruit/" TargetMode="External"/><Relationship Id="rId4" Type="http://schemas.openxmlformats.org/officeDocument/2006/relationships/webSettings" Target="webSettings.xml"/><Relationship Id="rId9" Type="http://schemas.openxmlformats.org/officeDocument/2006/relationships/hyperlink" Target="http://hr.qmul.ac.uk/procedures/recruit/form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3866</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Byrne</dc:creator>
  <cp:keywords/>
  <dc:description/>
  <cp:lastModifiedBy>Paul Byrne</cp:lastModifiedBy>
  <cp:revision>8</cp:revision>
  <cp:lastPrinted>2018-03-23T11:04:00Z</cp:lastPrinted>
  <dcterms:created xsi:type="dcterms:W3CDTF">2018-03-12T16:13:00Z</dcterms:created>
  <dcterms:modified xsi:type="dcterms:W3CDTF">2019-08-15T10:53:00Z</dcterms:modified>
</cp:coreProperties>
</file>